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EDGAR LEHNER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ANALISIS QUIMICO Y MICROBIOLOGICO A Q M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Carrera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65 A 18 A 23</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TELÉFONO:4848800 EXT 134</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2021ER40397</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ANALISIS QUIMICO Y </w:t>
            </w:r>
            <w:r w:rsidDel="00000000" w:rsidR="00000000" w:rsidRPr="00000000">
              <w:rPr>
                <w:rFonts w:ascii="Arial" w:cs="Arial" w:eastAsia="Arial" w:hAnsi="Arial"/>
                <w:sz w:val="22"/>
                <w:szCs w:val="22"/>
                <w:rtl w:val="0"/>
              </w:rPr>
              <w:t xml:space="preserve">MICROBIOLÓGICO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Q M SAS identificada con NIT 830005407-8 y cuya sede inscrita fue la ubicada en </w:t>
            </w:r>
            <w:r w:rsidDel="00000000" w:rsidR="00000000" w:rsidRPr="00000000">
              <w:rPr>
                <w:rFonts w:ascii="Arial" w:cs="Arial" w:eastAsia="Arial" w:hAnsi="Arial"/>
                <w:sz w:val="22"/>
                <w:szCs w:val="22"/>
                <w:rtl w:val="0"/>
              </w:rPr>
              <w:t xml:space="preserve">Carrera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65 A 18 A 23,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7"/>
              <w:gridCol w:w="2739"/>
              <w:gridCol w:w="2772"/>
              <w:tblGridChange w:id="0">
                <w:tblGrid>
                  <w:gridCol w:w="2757"/>
                  <w:gridCol w:w="2739"/>
                  <w:gridCol w:w="2772"/>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ANALISIS QUIMICO Y MICROBIOLOGICO A Q M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7371" w:hRule="atLeast"/>
          <w:tblHeader w:val="0"/>
        </w:trPr>
        <w:tc>
          <w:tcPr>
            <w:shd w:fill="auto" w:val="clear"/>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2164"/>
              <w:gridCol w:w="4244"/>
              <w:tblGridChange w:id="0">
                <w:tblGrid>
                  <w:gridCol w:w="1860"/>
                  <w:gridCol w:w="2164"/>
                  <w:gridCol w:w="4244"/>
                </w:tblGrid>
              </w:tblGridChange>
            </w:tblGrid>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Camilo Rodriguez, asistió al 90 %  de  mesas de trabajo, cumpliendo con el requisito de asistencia para respectiva certificación.</w:t>
                  </w:r>
                </w:p>
              </w:tc>
            </w:tr>
            <w:tr>
              <w:trPr>
                <w:cantSplit w:val="0"/>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21 de los 25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profundizar sobre: justificación de la etapa del proyecto, cronograma de implementación, especificar los posibles proveedores, describir el componente técnico del proyecto (</w:t>
                  </w:r>
                  <w:r w:rsidDel="00000000" w:rsidR="00000000" w:rsidRPr="00000000">
                    <w:rPr>
                      <w:rFonts w:ascii="Arial" w:cs="Arial" w:eastAsia="Arial" w:hAnsi="Arial"/>
                      <w:sz w:val="22"/>
                      <w:szCs w:val="22"/>
                      <w:rtl w:val="0"/>
                    </w:rPr>
                    <w:t xml:space="preserve">número de paneles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espacio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requerido, entre otras variables técnicas)</w:t>
                  </w:r>
                </w:p>
              </w:tc>
            </w:tr>
            <w:tr>
              <w:trPr>
                <w:cantSplit w:val="0"/>
                <w:tblHeader w:val="0"/>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20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el número de proveedores cotizados y sobre la identificación del costo total del proyecto, hay indicadores tentativos sin embargo a la fecha no es posible identificar resultados asociados al proyecto, y, finalmente se tiene una fecha estimada de implementación del proyecto pero no se identificó un cronograma asociado al primer entregable.</w:t>
                  </w:r>
                </w:p>
              </w:tc>
            </w:tr>
            <w:tr>
              <w:trPr>
                <w:cantSplit w:val="0"/>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27 de los 30 puntos posibles correspondientes a este entregable. Los criterios tenidos en cuenta para esta entrega fueron los de: avances en la formulación del proyecto respecto al segundo entregable, el estado final del proyecto y la continuidad del mismo, identificando avance sobre la presentación del proyecto a la alta dirección, para su respectiva aprobación; aplazamiento del proyecto por la adquisición de una subestación que </w:t>
                  </w:r>
                  <w:r w:rsidDel="00000000" w:rsidR="00000000" w:rsidRPr="00000000">
                    <w:rPr>
                      <w:rFonts w:ascii="Arial" w:cs="Arial" w:eastAsia="Arial" w:hAnsi="Arial"/>
                      <w:sz w:val="22"/>
                      <w:szCs w:val="22"/>
                      <w:rtl w:val="0"/>
                    </w:rPr>
                    <w:t xml:space="preserve">servirá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como complemento para el proyecto planteado; finalmente, se evidencia interés,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83</w:t>
                  </w:r>
                  <w:r w:rsidDel="00000000" w:rsidR="00000000" w:rsidRPr="00000000">
                    <w:rPr>
                      <w:rtl w:val="0"/>
                    </w:rPr>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energia solar</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con potencia de 50,3 KWp, integrado por 90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535 W de potencia y 1 inversor  de 50 KW</w:t>
                  </w:r>
                </w:p>
              </w:tc>
            </w:tr>
          </w:tb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y evaluación técnico-financiera de un proyecto de generación de energía a partir de tecnología  solar fotovoltaica. Sin embargo, no asistió a la sesión de socialización del estado final del proyecto.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F">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7TGgZt7N7v8lmC3ULjBwC4QrgA==">AMUW2mUco0lbuyR6S2xTNwinoYceBdYcIrGQc2YMhfIQ8zBKha1I7LGmaiTQfwppk2ZMC20LJG94XJq83JqLHfRFLLu+2tuZ6PJ0cL5oohthd613UmU3e8U=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2021-11-26T14:58:00Z</dcterms:created>
  <dc:creator>Jorge Manrique</dc:creator>
</cp:coreProperties>
</file>